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投标文件应当包括以下内容：</w:t>
      </w:r>
    </w:p>
    <w:tbl>
      <w:tblPr>
        <w:tblStyle w:val="7"/>
        <w:tblW w:w="5461" w:type="pct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749"/>
        <w:gridCol w:w="674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公司资质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公司情况简介、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 w:bidi="ar"/>
              </w:rPr>
              <w:t>营业执照及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相关从业资质证明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 w:bidi="ar"/>
              </w:rPr>
              <w:t>参选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 xml:space="preserve">方案  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资产证券化业务专业能力（包含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类REITs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相关经验）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本次项目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val="en-US" w:eastAsia="zh-CN" w:bidi="ar"/>
              </w:rPr>
              <w:t>相关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方案及进度安排。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人员配置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说明项目组人员配置、项目组主要成员简历，指定在申报和后续发行过程中的经办人、协调人。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9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 w:bidi="ar"/>
              </w:rPr>
              <w:t>收费安排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及付费方式</w:t>
            </w: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说明本次项目的报价方案。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9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3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付费方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bidi="ar"/>
              </w:rPr>
              <w:t>式：如先发行后付费等，具体说明。</w:t>
            </w:r>
          </w:p>
        </w:tc>
      </w:tr>
    </w:tbl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267B3-9CF7-4E12-9D8A-0172F1CA2193}">
  <ds:schemaRefs/>
</ds:datastoreItem>
</file>